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media/image1.png" ContentType="image/png"/>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0"/><w:jc w:val="both"/></w:pPr><w:r><w:rPr><w:b/><w:bCs/><w:sz w:val="40"/><w:szCs w:val="40"/></w:rPr><w:t>Glyphosate issue: Let’s consider the facts</w:t></w:r></w:p><w:p><w:pPr><w:pStyle w:val="style0"/><w:jc w:val="both"/></w:pPr><w:r><w:rPr><w:b/><w:bCs/><w:sz w:val="24"/><w:szCs w:val="24"/></w:rPr><w:t>By Ranjit Mulleriyawa</w:t></w:r></w:p><w:p><w:pPr><w:pStyle w:val="style0"/><w:jc w:val="both"/></w:pPr><w:r><w:rPr><w:sz w:val="28"/><w:szCs w:val="28"/></w:rPr><w:t>Now that the heated debate on Glyphosate has subsided, the time seems opportune to calmly reflect and reconsider the decision to ban this herbicide in some parts of the country considering currently available evidence/facts.</w:t></w:r></w:p><w:p><w:pPr><w:pStyle w:val="style0"/><w:jc w:val="both"/></w:pPr><w:r><w:rPr><w:b/><w:bCs/><w:sz w:val="28"/><w:szCs w:val="28"/></w:rPr><w:t>What is Glyphosate?</w:t></w:r></w:p><w:p><w:pPr><w:pStyle w:val="style0"/><w:jc w:val="both"/></w:pPr><w:r><w:rPr></w:rPr><w:drawing><wp:inline distB="0" distL="0" distR="0" distT="0"><wp:extent cx="1905000" cy="762000"/><wp:effectExtent b="0" l="0" r="0" t="0"/><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embed="rId2"/><a:srcRect/><a:stretch><a:fillRect/></a:stretch></pic:blipFill><pic:spPr bwMode="auto"><a:xfrm><a:off x="0" y="0"/><a:ext cx="1905000" cy="762000"/></a:xfrm><a:prstGeom prst="rect"><a:avLst/></a:prstGeom><a:noFill/><a:ln w="9525"><a:noFill/><a:miter lim="800000"/><a:headEnd/><a:tailEnd/></a:ln></pic:spPr></pic:pic></a:graphicData></a:graphic></wp:inline></w:drawing></w:r></w:p><w:p><w:pPr><w:pStyle w:val="style0"/><w:spacing w:after="120" w:before="120" w:line="100" w:lineRule="atLeast"/><w:contextualSpacing w:val="false"/><w:jc w:val="both"/></w:pPr><w:r><w:rPr><w:rFonts w:ascii="Arial" w:cs="Arial" w:eastAsia="Times New Roman" w:hAnsi="Arial"/><w:b/><w:bCs/><w:color w:val="252525"/><w:sz w:val="24"/><w:szCs w:val="24"/></w:rPr><w:t>Glyphosate</w:t></w:r><w:r><w:rPr><w:rFonts w:ascii="Arial" w:cs="Arial" w:eastAsia="Times New Roman" w:hAnsi="Arial"/><w:color w:val="252525"/><w:sz w:val="24"/><w:szCs w:val="24"/></w:rPr><w:t> (</w:t></w:r><w:r><w:rPr><w:rFonts w:ascii="Arial" w:cs="Arial" w:eastAsia="Times New Roman" w:hAnsi="Arial"/><w:i/><w:iCs/><w:color w:val="252525"/><w:sz w:val="24"/><w:szCs w:val="24"/></w:rPr><w:t>N</w:t></w:r><w:r><w:rPr><w:rFonts w:ascii="Arial" w:cs="Arial" w:eastAsia="Times New Roman" w:hAnsi="Arial"/><w:color w:val="252525"/><w:sz w:val="24"/><w:szCs w:val="24"/></w:rPr><w:t>-(phosphonomethyl) glycine) is a broad-spectrum </w:t></w:r><w:r><w:fldChar w:fldCharType="begin"></w:fldChar></w:r><w:r><w:instrText> HYPERLINK &quot;http://en.wikipedia.org/wiki/Herbicide&quot; \l &quot;Classification&quot;</w:instrText></w:r><w:r><w:fldChar w:fldCharType="separate"/></w:r><w:r><w:rPr><w:rStyle w:val="style17"/><w:rFonts w:ascii="Arial" w:cs="Arial" w:eastAsia="Times New Roman" w:hAnsi="Arial"/><w:sz w:val="24"/><w:szCs w:val="24"/></w:rPr><w:t xml:space="preserve">systemic </w:t></w:r><w:r><w:fldChar w:fldCharType="end"/></w:r><w:r><w:rPr><w:rStyle w:val="style17"/><w:rFonts w:ascii="Arial" w:cs="Arial" w:eastAsia="Times New Roman" w:hAnsi="Arial"/><w:sz w:val="28"/><w:szCs w:val="28"/></w:rPr><w:t>herbicide</w:t></w:r></w:hyperlink><w:r><w:rPr><w:rFonts w:ascii="Arial" w:cs="Arial" w:eastAsia="Times New Roman" w:hAnsi="Arial"/><w:color w:val="252525"/><w:sz w:val="24"/><w:szCs w:val="24"/></w:rPr><w:t xml:space="preserve"> used to kill </w:t></w:r><w:hyperlink r:id="rId3"><w:r><w:rPr><w:rStyle w:val="style17"/><w:rFonts w:ascii="Arial" w:cs="Arial" w:eastAsia="Times New Roman" w:hAnsi="Arial"/><w:sz w:val="24"/><w:szCs w:val="24"/></w:rPr><w:t>weeds</w:t></w:r></w:hyperlink><w:r><w:rPr><w:rFonts w:ascii="Arial" w:cs="Arial" w:eastAsia="Times New Roman" w:hAnsi="Arial"/><w:sz w:val="24"/><w:szCs w:val="24"/></w:rPr><w:t>,</w:t></w:r><w:r><w:rPr><w:rFonts w:ascii="Arial" w:cs="Arial" w:eastAsia="Times New Roman" w:hAnsi="Arial"/><w:color w:val="252525"/><w:sz w:val="24"/><w:szCs w:val="24"/></w:rPr><w:t xml:space="preserve"> especially annual broad leaf weeds and grasses known to compete with commercial crops grown around the globe</w:t></w:r><w:r><w:rPr><w:sz w:val="24"/><w:szCs w:val="24"/></w:rPr><w:t xml:space="preserve">. </w:t></w:r><w:r><w:rPr><w:sz w:val="28"/><w:szCs w:val="28"/></w:rPr><w:t>It was discovered in 1970 by John E. Franz, a Chemist working for the MONSANTO Company in the USA. (Franz</w:t></w:r><w:r><w:rPr><w:rFonts w:ascii="Arial" w:cs="Arial" w:hAnsi="Arial"/><w:color w:val="252525"/><w:sz w:val="28"/><w:szCs w:val="28"/><w:shd w:fill="FFFFFF" w:val="clear"/></w:rPr><w:t xml:space="preserve"> </w:t></w:r><w:r><w:rPr><w:rFonts w:ascii="Arial" w:cs="Arial" w:hAnsi="Arial"/><w:color w:val="252525"/><w:sz w:val="24"/><w:szCs w:val="24"/><w:shd w:fill="FFFFFF" w:val="clear"/></w:rPr><w:t>received the</w:t></w:r><w:r><w:rPr><w:sz w:val="24"/><w:szCs w:val="24"/></w:rPr><w:t xml:space="preserve"> </w:t></w:r><w:r><w:rPr><w:sz w:val="28"/><w:szCs w:val="28"/></w:rPr><w:t>National</w:t></w:r><w:r><w:rPr><w:rStyle w:val="style18"/><w:rFonts w:ascii="Arial" w:cs="Arial" w:hAnsi="Arial"/><w:color w:val="252525"/><w:sz w:val="28"/><w:szCs w:val="28"/><w:shd w:fill="FFFFFF" w:val="clear"/></w:rPr><w:t> </w:t></w:r><w:r><w:rPr><w:rFonts w:ascii="Arial" w:cs="Arial" w:hAnsi="Arial"/><w:color w:val="252525"/><w:sz w:val="24"/><w:szCs w:val="24"/><w:shd w:fill="FFFFFF" w:val="clear"/></w:rPr><w:t>medal of technology in 1987</w:t></w:r><w:r><w:rPr><w:rStyle w:val="style18"/><w:rFonts w:ascii="Arial" w:cs="Arial" w:hAnsi="Arial"/><w:color w:val="252525"/><w:sz w:val="24"/><w:szCs w:val="24"/><w:shd w:fill="FFFFFF" w:val="clear"/></w:rPr><w:t> </w:t></w:r><w:r><w:rPr><w:rFonts w:ascii="Arial" w:cs="Arial" w:hAnsi="Arial"/><w:color w:val="252525"/><w:sz w:val="24"/><w:szCs w:val="24"/><w:shd w:fill="FFFFFF" w:val="clear"/></w:rPr><w:t>and the</w:t></w:r><w:r><w:rPr><w:rStyle w:val="style18"/><w:rFonts w:ascii="Arial" w:cs="Arial" w:hAnsi="Arial"/><w:color w:val="252525"/><w:sz w:val="24"/><w:szCs w:val="24"/><w:shd w:fill="FFFFFF" w:val="clear"/></w:rPr><w:t> </w:t></w:r><w:hyperlink r:id="rId4"><w:r><w:rPr><w:rStyle w:val="style17"/><w:rFonts w:ascii="Arial" w:cs="Arial" w:hAnsi="Arial"/><w:color w:val="00000A"/><w:sz w:val="24"/><w:szCs w:val="24"/><w:shd w:fill="FFFFFF" w:val="clear"/></w:rPr><w:t>Perkin Medal</w:t></w:r></w:hyperlink><w:r><w:rPr><w:rStyle w:val="style18"/><w:rFonts w:ascii="Arial" w:cs="Arial" w:hAnsi="Arial"/><w:color w:val="252525"/><w:sz w:val="24"/><w:szCs w:val="24"/><w:shd w:fill="FFFFFF" w:val="clear"/></w:rPr><w:t> </w:t></w:r><w:r><w:rPr><w:rFonts w:ascii="Arial" w:cs="Arial" w:hAnsi="Arial"/><w:color w:val="252525"/><w:sz w:val="24"/><w:szCs w:val="24"/><w:shd w:fill="FFFFFF" w:val="clear"/></w:rPr><w:t>for Applied Chemistry</w:t></w:r><w:r><w:rPr><w:rFonts w:ascii="Arial" w:cs="Arial" w:hAnsi="Arial"/><w:color w:val="252525"/><w:sz w:val="24"/><w:szCs w:val="24"/><w:shd w:fill="FFFFFF" w:val="clear"/><w:vertAlign w:val="superscript"/></w:rPr><w:t xml:space="preserve"> </w:t></w:r><w:r><w:rPr><w:rFonts w:ascii="Arial" w:cs="Arial" w:hAnsi="Arial"/><w:color w:val="252525"/><w:sz w:val="24"/><w:szCs w:val="24"/><w:shd w:fill="FFFFFF" w:val="clear"/></w:rPr><w:t xml:space="preserve">in 1990 for his discoveries. He was inducted into the National </w:t></w:r><w:r><w:rPr><w:rFonts w:ascii="Arial" w:cs="Arial" w:hAnsi="Arial"/><w:sz w:val="24"/><w:szCs w:val="24"/><w:shd w:fill="FFFFFF" w:val="clear"/></w:rPr><w:t xml:space="preserve">Inventor&apos;s </w:t></w:r><w:r><w:rPr><w:rFonts w:ascii="Arial" w:cs="Arial" w:hAnsi="Arial"/><w:color w:val="252525"/><w:sz w:val="24"/><w:szCs w:val="24"/><w:shd w:fill="FFFFFF" w:val="clear"/></w:rPr><w:t xml:space="preserve">Hall of Fame in 2007). </w:t></w:r><w:r><w:rPr><w:rFonts w:ascii="Arial" w:cs="Arial" w:eastAsia="Times New Roman" w:hAnsi="Arial"/><w:color w:val="252525"/><w:sz w:val="24"/><w:szCs w:val="24"/></w:rPr><w:t>Monsanto brought Glyphosate to market in the</w:t></w:r><w:r><w:rPr><w:rFonts w:ascii="Arial" w:cs="Arial" w:eastAsia="Times New Roman" w:hAnsi="Arial"/><w:b/><w:bCs/><w:color w:val="252525"/><w:sz w:val="24"/><w:szCs w:val="24"/></w:rPr><w:t xml:space="preserve"> 1970s </w:t></w:r><w:r><w:rPr><w:rFonts w:ascii="Arial" w:cs="Arial" w:eastAsia="Times New Roman" w:hAnsi="Arial"/><w:color w:val="252525"/><w:sz w:val="24"/><w:szCs w:val="24"/></w:rPr><w:t>under the trade name </w:t></w:r><w:r><w:rPr><w:rFonts w:ascii="Arial" w:cs="Arial" w:eastAsia="Times New Roman" w:hAnsi="Arial"/><w:b/><w:bCs/><w:color w:val="252525"/><w:sz w:val="24"/><w:szCs w:val="24"/></w:rPr><w:t>Roundup</w:t></w:r><w:r><w:rPr><w:rFonts w:ascii="Arial" w:cs="Arial" w:eastAsia="Times New Roman" w:hAnsi="Arial"/><w:color w:val="252525"/><w:sz w:val="24"/><w:szCs w:val="24"/></w:rPr><w:t>, and Monsanto&apos;s last commercially relevant United States </w:t></w:r><w:hyperlink r:id="rId5"><w:r><w:rPr><w:rStyle w:val="style17"/><w:rFonts w:ascii="Arial" w:cs="Arial" w:eastAsia="Times New Roman" w:hAnsi="Arial"/><w:b/><w:bCs/><w:sz w:val="24"/><w:szCs w:val="24"/></w:rPr><w:t>patent</w:t></w:r></w:hyperlink><w:r><w:rPr><w:b/><w:bCs/><w:sz w:val="24"/><w:szCs w:val="24"/></w:rPr><w:t xml:space="preserve"> </w:t></w:r><w:r><w:rPr><w:rFonts w:ascii="Arial" w:cs="Arial" w:eastAsia="Times New Roman" w:hAnsi="Arial"/><w:b/><w:bCs/><w:color w:val="252525"/><w:sz w:val="24"/><w:szCs w:val="24"/></w:rPr><w:t>expired in 2000</w:t></w:r><w:r><w:rPr><w:rFonts w:ascii="Arial" w:cs="Arial" w:eastAsia="Times New Roman" w:hAnsi="Arial"/><w:color w:val="252525"/><w:sz w:val="24"/><w:szCs w:val="24"/></w:rPr><w:t>.</w:t></w:r></w:p><w:p><w:pPr><w:pStyle w:val="style0"/><w:spacing w:after="120" w:before="120" w:line="100" w:lineRule="atLeast"/><w:contextualSpacing w:val="false"/><w:jc w:val="both"/></w:pPr><w:r><w:rPr><w:rFonts w:ascii="Arial" w:cs="Arial" w:eastAsia="Times New Roman" w:hAnsi="Arial"/><w:color w:val="252525"/><w:sz w:val="24"/><w:szCs w:val="24"/></w:rPr><w:t>Glyphosate was quickly adopted by farmers, even more so when Monsanto introduced glyphosate-resistant </w:t></w:r><w:hyperlink r:id="rId6"><w:r><w:rPr><w:rStyle w:val="style17"/><w:rFonts w:ascii="Arial" w:cs="Arial" w:eastAsia="Times New Roman" w:hAnsi="Arial"/><w:sz w:val="24"/><w:szCs w:val="24"/></w:rPr><w:t>crops</w:t></w:r></w:hyperlink><w:r><w:rPr><w:rFonts w:ascii="Arial" w:cs="Arial" w:eastAsia="Times New Roman" w:hAnsi="Arial"/><w:color w:val="252525"/><w:sz w:val="24"/><w:szCs w:val="24"/></w:rPr><w:t xml:space="preserve">, enabling farmers to kill weeds without killing their crops. In 2007, glyphosate was the </w:t></w:r><w:r><w:rPr><w:rFonts w:ascii="Arial" w:cs="Arial" w:eastAsia="Times New Roman" w:hAnsi="Arial"/><w:b/><w:bCs/><w:color w:val="252525"/><w:sz w:val="24"/><w:szCs w:val="24"/></w:rPr><w:t>most used herbicide in the United States agricultural sector</w:t></w:r><w:r><w:rPr><w:rFonts w:ascii="Arial" w:cs="Arial" w:eastAsia="Times New Roman" w:hAnsi="Arial"/><w:color w:val="252525"/><w:sz w:val="24"/><w:szCs w:val="24"/></w:rPr><w:t xml:space="preserve">, with 82,000 to 84,000 tonnes applied, and </w:t></w:r><w:r><w:rPr><w:rFonts w:ascii="Arial" w:cs="Arial" w:eastAsia="Times New Roman" w:hAnsi="Arial"/><w:b/><w:bCs/><w:color w:val="252525"/><w:sz w:val="24"/><w:szCs w:val="24"/></w:rPr><w:t>the second-most used in home and market gardens where users applied 2,300 to 3,600 tonnes.</w:t></w:r></w:p><w:p><w:pPr><w:pStyle w:val="style2"/><w:numPr><w:ilvl w:val="1"/><w:numId w:val="1"/></w:numPr><w:pBdr><w:bottom w:color="AAAAAA" w:space="0" w:sz="6" w:val="single"/></w:pBdr><w:shd w:fill="FFFFFF" w:val="clear"/><w:spacing w:after="60" w:before="240"/><w:contextualSpacing w:val="false"/><w:jc w:val="both"/></w:pPr><w:r><w:rPr><w:rStyle w:val="style19"/><w:rFonts w:ascii="Georgia" w:hAnsi="Georgia"/><w:color w:val="000000"/><w:sz w:val="24"/><w:szCs w:val="24"/></w:rPr><w:t>Formulations and trade names</w:t></w:r></w:p><w:p><w:pPr><w:pStyle w:val="style33"/><w:shd w:fill="FFFFFF" w:val="clear"/><w:spacing w:after="28" w:before="28" w:line="269" w:lineRule="atLeast"/><w:contextualSpacing w:val="false"/><w:jc w:val="both"/></w:pPr><w:r><w:rPr><w:rFonts w:ascii="Arial" w:cs="Arial" w:hAnsi="Arial"/><w:color w:val="252525"/></w:rPr><w:t>Glyphosate is marketed in the United States and worldwide by many</w:t></w:r><w:r><w:rPr><w:rStyle w:val="style18"/><w:rFonts w:ascii="Arial" w:cs="Arial" w:hAnsi="Arial"/></w:rPr><w:t> </w:t></w:r><w:hyperlink r:id="rId7"><w:r><w:rPr><w:rStyle w:val="style17"/><w:rFonts w:ascii="Arial" w:cs="Arial" w:hAnsi="Arial"/><w:color w:val="00000A"/></w:rPr><w:t>agrochemical</w:t></w:r></w:hyperlink><w:r><w:rPr><w:rStyle w:val="style18"/><w:rFonts w:ascii="Arial" w:cs="Arial" w:hAnsi="Arial"/><w:color w:val="252525"/></w:rPr><w:t> </w:t></w:r><w:r><w:rPr><w:rFonts w:ascii="Arial" w:cs="Arial" w:hAnsi="Arial"/><w:color w:val="252525"/></w:rPr><w:t>companies, in different solution strengths and with various</w:t></w:r><w:r><w:rPr><w:rStyle w:val="style18"/><w:rFonts w:ascii="Arial" w:cs="Arial" w:hAnsi="Arial"/><w:color w:val="252525"/></w:rPr><w:t> </w:t></w:r><w:r><w:rPr><w:sz w:val="28"/><w:szCs w:val="28"/></w:rPr><w:t>additives</w:t></w:r><w:r><w:rPr><w:rFonts w:ascii="Arial" w:cs="Arial" w:hAnsi="Arial"/><w:color w:val="252525"/><w:sz w:val="28"/><w:szCs w:val="28"/></w:rPr><w:t xml:space="preserve"> </w:t></w:r><w:r><w:rPr><w:rFonts w:ascii="Arial" w:cs="Arial" w:hAnsi="Arial"/><w:color w:val="252525"/></w:rPr><w:t>under dozens of trade names.</w:t></w:r><w:r><w:rPr><w:rStyle w:val="style18"/><w:rFonts w:ascii="Arial" w:cs="Arial" w:hAnsi="Arial"/><w:color w:val="252525"/></w:rPr><w:t> </w:t></w:r><w:r><w:rPr><w:rFonts w:ascii="Arial" w:cs="Arial" w:hAnsi="Arial"/><w:color w:val="252525"/></w:rPr><w:t xml:space="preserve">As of 2013, it was the </w:t></w:r><w:r><w:rPr><w:rFonts w:ascii="Arial" w:cs="Arial" w:hAnsi="Arial"/><w:b/><w:bCs/><w:color w:val="252525"/></w:rPr><w:t>world&apos;s largest-selling herbicide</w:t></w:r><w:r><w:rPr><w:rFonts w:ascii="Arial" w:cs="Arial" w:hAnsi="Arial"/><w:color w:val="252525"/></w:rPr><w:t xml:space="preserve">, and </w:t></w:r><w:r><w:rPr><w:rFonts w:ascii="Arial" w:cs="Arial" w:hAnsi="Arial"/><w:b/><w:bCs/><w:color w:val="252525"/></w:rPr><w:t>Chinese manufacturers collectively are the world&apos;s largest producers of glyphosate and its precursors.</w:t></w:r><w:r><w:rPr><w:rFonts w:ascii="Arial" w:cs="Arial" w:hAnsi="Arial"/><w:color w:val="252525"/></w:rPr><w:t xml:space="preserve"> Manufacturers include Bayer, Dow Agro Sciences, Du Pont, Cenex/Land O’Lakes, Helena, Monsanto, Platte, Riverside/Terra, and Zeneca. </w:t></w:r></w:p><w:p><w:pPr><w:pStyle w:val="style33"/><w:shd w:fill="FFFFFF" w:val="clear"/><w:spacing w:after="28" w:before="28" w:line="269" w:lineRule="atLeast"/><w:contextualSpacing w:val="false"/><w:jc w:val="both"/></w:pPr><w:r><w:rPr><w:rFonts w:ascii="Arial" w:cs="Arial" w:hAnsi="Arial"/><w:color w:val="252525"/></w:rPr><w:t xml:space="preserve">Products are supplied most commonly in formulations of 120, 240, 360, 480, and 680 g/Lof active ingredient. The </w:t></w:r><w:r><w:rPr><w:rFonts w:ascii="Arial" w:cs="Arial" w:hAnsi="Arial"/><w:b/><w:bCs/><w:color w:val="252525"/></w:rPr><w:t>most common formulation in agriculture is 360 g/L. For 360 g/L formulations, European regulations allow applications of up to 12 L per hectare</w:t></w:r><w:r><w:rPr><w:rFonts w:ascii="Arial" w:cs="Arial" w:hAnsi="Arial"/><w:color w:val="252525"/></w:rPr><w:t xml:space="preserve"> for control of </w:t></w:r><w:r><w:rPr><w:rFonts w:ascii="Arial" w:cs="Arial" w:hAnsi="Arial"/><w:b/><w:bCs/><w:color w:val="252525"/></w:rPr><w:t>perennial weeds such as</w:t></w:r><w:r><w:rPr><w:rStyle w:val="style18"/><w:rFonts w:ascii="Arial" w:cs="Arial" w:hAnsi="Arial"/><w:b/><w:bCs/><w:color w:val="252525"/></w:rPr><w:t> </w:t></w:r><w:r><w:rPr><w:rStyle w:val="style18"/><w:rFonts w:ascii="Arial" w:cs="Arial" w:hAnsi="Arial"/><w:b/><w:bCs/><w:color w:val="252525"/><w:sz w:val="28"/><w:szCs w:val="28"/></w:rPr><w:t>“</w:t></w:r><w:r><w:rPr><w:sz w:val="28"/><w:szCs w:val="28"/></w:rPr><w:t>cooch grass”</w:t></w:r><w:r><w:rPr><w:rFonts w:ascii="Arial" w:cs="Arial" w:hAnsi="Arial"/><w:color w:val="252525"/><w:sz w:val="28"/><w:szCs w:val="28"/></w:rPr><w:t xml:space="preserve">. </w:t></w:r><w:r><w:rPr><w:rFonts w:ascii="Arial" w:cs="Arial" w:hAnsi="Arial"/><w:color w:val="252525"/></w:rPr><w:t>More commonly, rates of 3 L/ha are applied for control of annual weeds between crops</w:t></w:r></w:p><w:p><w:pPr><w:pStyle w:val="style33"/><w:shd w:fill="FFFFFF" w:val="clear"/><w:spacing w:after="28" w:before="28" w:line="269" w:lineRule="atLeast"/><w:contextualSpacing w:val="false"/><w:jc w:val="both"/></w:pPr><w:r><w:rPr><w:rStyle w:val="style19"/><w:rFonts w:ascii="Georgia" w:cs="" w:hAnsi="Georgia"/><w:b/><w:bCs/><w:color w:val="000000"/></w:rPr><w:t>Environmental fate</w:t></w:r></w:p><w:p><w:pPr><w:pStyle w:val="style33"/><w:shd w:fill="FFFFFF" w:val="clear"/><w:spacing w:after="28" w:before="28" w:line="269" w:lineRule="atLeast"/><w:contextualSpacing w:val="false"/><w:jc w:val="both"/></w:pPr><w:r><w:rPr><w:rFonts w:ascii="Arial" w:cs="Arial" w:hAnsi="Arial"/><w:b/><w:bCs/><w:color w:val="252525"/></w:rPr><w:t>Glyphosate is strongly adsorbed (held onto) by soil and is not expected to move vertically below the six-inch soil layer; residues are expected to be immobile in soil. Glyphosate is readily degraded by soil microbes to</w:t></w:r><w:r><w:rPr><w:rStyle w:val="style18"/><w:rFonts w:ascii="Arial" w:cs="Arial" w:hAnsi="Arial"/><w:b/><w:bCs/><w:color w:val="252525"/></w:rPr><w:t> </w:t></w:r><w:hyperlink r:id="rId8"><w:r><w:rPr><w:rStyle w:val="style17"/><w:rFonts w:ascii="Arial" w:cs="Arial" w:hAnsi="Arial"/><w:b/><w:bCs/><w:color w:val="00000A"/></w:rPr><w:t>aminomethylphosphonic acid</w:t></w:r></w:hyperlink><w:r><w:rPr><w:rStyle w:val="style18"/><w:rFonts w:ascii="Arial" w:cs="Arial" w:hAnsi="Arial"/><w:b/><w:bCs/><w:color w:val="252525"/></w:rPr><w:t> </w:t></w:r><w:r><w:rPr><w:rFonts w:ascii="Arial" w:cs="Arial" w:hAnsi="Arial"/><w:b/><w:bCs/><w:color w:val="252525"/></w:rPr><w:t xml:space="preserve">(AMPA) </w:t></w:r><w:r><w:rPr><w:rFonts w:ascii="Arial" w:cs="Arial" w:hAnsi="Arial"/><w:b/><w:bCs/></w:rPr><w:t>and</w:t></w:r><w:r><w:rPr><w:rStyle w:val="style18"/><w:rFonts w:ascii="Arial" w:cs="Arial" w:hAnsi="Arial"/><w:b/><w:bCs/></w:rPr><w:t> </w:t></w:r><w:hyperlink r:id="rId9"><w:r><w:rPr><w:rStyle w:val="style17"/><w:rFonts w:ascii="Arial" w:cs="Arial" w:hAnsi="Arial"/><w:b/><w:bCs/><w:color w:val="00000A"/></w:rPr><w:t>carbon dioxide</w:t></w:r></w:hyperlink><w:r><w:rPr><w:rFonts w:ascii="Arial" w:cs="Arial" w:hAnsi="Arial"/><w:b/><w:bCs/><w:color w:val="252525"/></w:rPr><w:t>. Glyphosate and AMPA are not likely to move to ground water due to their strong adsorptive characteristics.</w:t></w:r><w:r><w:rPr><w:rFonts w:ascii="Arial" w:cs="Arial" w:hAnsi="Arial"/><w:color w:val="252525"/></w:rPr><w:t xml:space="preserve"> However, glyphosate does have the potential to contaminate surface waters due to its aquatic use patterns and through erosion, as it adsorbs to soil particles suspended in runoff. If glyphosate reaches surface water, it would not be broken down readily by water or sunlight. The </w:t></w:r><w:r><w:rPr><w:rFonts w:ascii="Arial" w:cs="Arial" w:hAnsi="Arial"/><w:b/><w:bCs/><w:color w:val="252525"/></w:rPr><w:t>half-life(</w:t></w:r><w:r><w:rPr><w:rFonts w:ascii="Arial" w:cs="Arial" w:hAnsi="Arial"/><w:color w:val="252525"/><w:sz w:val="21"/><w:szCs w:val="21"/><w:shd w:fill="FFFFFF" w:val="clear"/></w:rPr><w:t>the amount of time required for a quantity to fall to half its value as measured at the beginning of the time period)</w:t></w:r><w:r><w:rPr><w:rFonts w:ascii="Arial" w:cs="Arial" w:hAnsi="Arial"/><w:b/><w:bCs/><w:color w:val="252525"/></w:rPr><w:t xml:space="preserve"> of glyphosate in soil</w:t></w:r><w:r><w:rPr><w:rFonts w:ascii="Arial" w:cs="Arial" w:hAnsi="Arial"/><w:color w:val="252525"/></w:rPr><w:t xml:space="preserve"> ranges between </w:t></w:r><w:r><w:rPr><w:rFonts w:ascii="Arial" w:cs="Arial" w:hAnsi="Arial"/><w:b/><w:bCs/><w:color w:val="252525"/></w:rPr><w:t>2 and 197 days</w:t></w:r><w:r><w:rPr><w:rFonts w:ascii="Arial" w:cs="Arial" w:hAnsi="Arial"/><w:color w:val="252525"/></w:rPr><w:t xml:space="preserve">; </w:t></w:r><w:r><w:rPr><w:rFonts w:ascii="Arial" w:cs="Arial" w:hAnsi="Arial"/><w:b/><w:bCs/><w:color w:val="252525"/></w:rPr><w:t>a typical field half-life of 47</w:t></w:r><w:r><w:rPr><w:rFonts w:ascii="Arial" w:cs="Arial" w:hAnsi="Arial"/><w:color w:val="252525"/></w:rPr><w:t xml:space="preserve"> </w:t></w:r><w:r><w:rPr><w:rFonts w:ascii="Arial" w:cs="Arial" w:hAnsi="Arial"/><w:b/><w:bCs/><w:color w:val="252525"/></w:rPr><w:t>days has been suggested</w:t></w:r><w:r><w:rPr><w:rFonts w:ascii="Arial" w:cs="Arial" w:hAnsi="Arial"/><w:color w:val="252525"/></w:rPr><w:t xml:space="preserve">. Soil and climatic conditions affect glyphosate&apos;s persistence in soil. The </w:t></w:r><w:r><w:rPr><w:rFonts w:ascii="Arial" w:cs="Arial" w:hAnsi="Arial"/><w:b/><w:bCs/><w:color w:val="252525"/></w:rPr><w:t>median half-life of glyphosate in water varies from a</w:t></w:r><w:r><w:rPr><w:rFonts w:ascii="Arial" w:cs="Arial" w:hAnsi="Arial"/><w:color w:val="252525"/></w:rPr><w:t xml:space="preserve"> </w:t></w:r><w:r><w:rPr><w:rFonts w:ascii="Arial" w:cs="Arial" w:hAnsi="Arial"/><w:b/><w:bCs/><w:color w:val="252525"/></w:rPr><w:t>few to 91 days.</w:t></w:r><w:r><w:rPr></w:rPr><w:t xml:space="preserve"> </w:t></w:r></w:p><w:p><w:pPr><w:pStyle w:val="style3"/><w:numPr><w:ilvl w:val="2"/><w:numId w:val="1"/></w:numPr><w:shd w:fill="FFFFFF" w:val="clear"/><w:spacing w:after="0" w:before="72"/><w:contextualSpacing w:val="false"/><w:jc w:val="both"/></w:pPr><w:r><w:rPr><w:rStyle w:val="style19"/><w:rFonts w:ascii="Arial" w:cs="Arial" w:hAnsi="Arial"/><w:color w:val="000000"/><w:sz w:val="24"/><w:szCs w:val="24"/></w:rPr><w:t>Glyphosate toxicity</w:t></w:r></w:p><w:p><w:pPr><w:pStyle w:val="style33"/><w:shd w:fill="FFFFFF" w:val="clear"/><w:spacing w:after="28" w:before="28" w:line="269" w:lineRule="atLeast"/><w:contextualSpacing w:val="false"/><w:jc w:val="both"/></w:pPr><w:r><w:rPr><w:rFonts w:ascii="Arial" w:cs="Arial" w:hAnsi="Arial"/><w:color w:val="252525"/></w:rPr><w:t>Glyphosate has a</w:t></w:r><w:r><w:rPr><w:rStyle w:val="style18"/><w:rFonts w:ascii="Arial" w:cs="Arial" w:hAnsi="Arial"/><w:color w:val="252525"/></w:rPr><w:t> </w:t></w:r><w:hyperlink r:id="rId10"><w:r><w:rPr><w:rStyle w:val="style17"/><w:rFonts w:ascii="Arial" w:cs="Arial" w:hAnsi="Arial"/><w:color w:val="00000A"/></w:rPr><w:t>United States Environmental Protection Agency</w:t></w:r></w:hyperlink><w:r><w:rPr><w:rStyle w:val="style18"/><w:rFonts w:ascii="Arial" w:cs="Arial" w:hAnsi="Arial"/><w:color w:val="252525"/></w:rPr><w:t> </w:t></w:r><w:r><w:rPr><w:rFonts w:ascii="Arial" w:cs="Arial" w:hAnsi="Arial"/><w:color w:val="252525"/></w:rPr><w:t>(EPA)</w:t></w:r><w:r><w:rPr><w:rStyle w:val="style18"/><w:rFonts w:ascii="Arial" w:cs="Arial" w:hAnsi="Arial"/><w:color w:val="252525"/></w:rPr><w:t> </w:t></w:r><w:hyperlink r:id="rId11"><w:r><w:rPr><w:rStyle w:val="style17"/><w:rFonts w:ascii="Arial" w:cs="Arial" w:hAnsi="Arial"/><w:color w:val="00000A"/></w:rPr><w:t>Toxicity Class</w:t></w:r></w:hyperlink><w:r><w:rPr><w:rStyle w:val="style18"/><w:rFonts w:ascii="Arial" w:cs="Arial" w:hAnsi="Arial"/><w:color w:val="252525"/></w:rPr><w:t> </w:t></w:r><w:r><w:rPr><w:rFonts w:ascii="Arial" w:cs="Arial" w:hAnsi="Arial"/><w:color w:val="252525"/></w:rPr><w:t xml:space="preserve">of III (on </w:t></w:r><w:r><w:rPr><w:rFonts w:ascii="Arial" w:cs="Arial" w:hAnsi="Arial"/></w:rPr><w:t xml:space="preserve">a </w:t></w:r><w:r><w:rPr><w:rFonts w:ascii="Arial" w:cs="Arial" w:hAnsi="Arial"/><w:color w:val="252525"/></w:rPr><w:t xml:space="preserve">I to IV scale, where IV is least dangerous) for oral and inhalation exposure. Thus, as with other herbicides, the EPA requires that products containing glyphosate carry a label that warns against oral intake, mandates the use of protective clothing, and instructs users not to re-enter treated fields for at least 4 hours. </w:t></w:r><w:r><w:rPr><w:rFonts w:ascii="Arial" w:cs="Arial" w:hAnsi="Arial"/><w:b/><w:bCs/><w:color w:val="252525"/></w:rPr><w:t>Glyphosate does not bioaccumulate in mammals</w:t></w:r><w:r><w:rPr><w:rFonts w:ascii="Arial" w:cs="Arial" w:hAnsi="Arial"/><w:color w:val="252525"/></w:rPr><w:t xml:space="preserve">; </w:t></w:r><w:r><w:rPr><w:rFonts w:ascii="Arial" w:cs="Arial" w:hAnsi="Arial"/><w:b/><w:bCs/><w:color w:val="252525"/></w:rPr><w:t xml:space="preserve">it is excreted in urine and feces. </w:t></w:r><w:r><w:rPr><w:rFonts w:ascii="Arial" w:cs="Arial" w:hAnsi="Arial"/><w:color w:val="252525"/></w:rPr><w:t xml:space="preserve">It breaks down quickly. Environmental conditions determine time taken for break down. </w:t></w:r></w:p><w:p><w:pPr><w:pStyle w:val="style33"/><w:shd w:fill="FFFFFF" w:val="clear"/><w:spacing w:after="28" w:before="28" w:line="269" w:lineRule="atLeast"/><w:contextualSpacing w:val="false"/><w:jc w:val="both"/></w:pPr><w:r><w:rPr><w:rFonts w:ascii="Arial" w:cs="Arial" w:hAnsi="Arial"/><w:b/><w:bCs/><w:color w:val="252525"/></w:rPr><w:t>L.D. 50 (</w:t></w:r><w:r><w:rPr><w:rFonts w:ascii="Arial" w:cs="Arial" w:hAnsi="Arial"/><w:color w:val="252525"/></w:rPr><w:t>i.e.</w:t></w:r><w:r><w:rPr><w:rFonts w:ascii="Arial" w:cs="Arial" w:hAnsi="Arial"/><w:b/><w:bCs/><w:color w:val="252525"/></w:rPr><w:t xml:space="preserve"> </w:t></w:r><w:r><w:rPr><w:rFonts w:ascii="Arial" w:cs="Arial" w:hAnsi="Arial"/><w:color w:val="252525"/></w:rPr><w:t>the amount needed to kill 50 % of the population of test rats)</w:t></w:r><w:r><w:rPr><w:rFonts w:ascii="Arial" w:cs="Arial" w:hAnsi="Arial"/><w:b/><w:bCs/><w:color w:val="252525"/></w:rPr><w:t xml:space="preserve"> for Glyphosate is 5. 6 gm. per Kg. Alcohol has an LD 50 of 5. This makes Glyphosate less toxic than alcohol.</w:t></w:r></w:p><w:p><w:pPr><w:pStyle w:val="style4"/><w:numPr><w:ilvl w:val="3"/><w:numId w:val="1"/></w:numPr><w:shd w:fill="FFFFFF" w:val="clear"/><w:spacing w:after="0" w:before="72" w:line="269" w:lineRule="atLeast"/><w:contextualSpacing w:val="false"/><w:jc w:val="both"/></w:pPr><w:r><w:rPr><w:rStyle w:val="style19"/><w:rFonts w:ascii="Arial" w:cs="Arial" w:hAnsi="Arial"/><w:color w:val="000000"/><w:sz w:val="24"/><w:szCs w:val="24"/></w:rPr><w:t>Human</w:t></w:r></w:p><w:p><w:pPr><w:pStyle w:val="style33"/><w:shd w:fill="FFFFFF" w:val="clear"/><w:spacing w:after="28" w:before="28" w:line="269" w:lineRule="atLeast"/><w:contextualSpacing w:val="false"/><w:jc w:val="both"/></w:pPr><w:r><w:rPr><w:rFonts w:ascii="Arial" w:cs="Arial" w:hAnsi="Arial"/><w:color w:val="252525"/></w:rPr><w:t>Human acute toxicity is dose-related. Acute fatal toxicity has been reported in deliberate overdose.</w:t></w:r><w:r><w:rPr><w:rStyle w:val="style18"/><w:rFonts w:ascii="Arial" w:cs="Arial" w:hAnsi="Arial"/><w:color w:val="252525"/></w:rPr><w:t> </w:t></w:r><w:r><w:rPr><w:rFonts w:ascii="Arial" w:cs="Arial" w:hAnsi="Arial"/><w:b/><w:bCs/><w:color w:val="252525"/></w:rPr><w:t>Early epidemiological studies have not found associations between long-term low-level exposure to glyphosate and any disease</w:t></w:r><w:r><w:rPr><w:rFonts w:ascii="Arial" w:cs="Arial" w:hAnsi="Arial"/><w:color w:val="252525"/></w:rPr><w:t>.</w:t></w:r><w:r><w:rPr><w:rStyle w:val="style18"/><w:rFonts w:ascii="Arial" w:cs="Arial" w:hAnsi="Arial"/><w:color w:val="252525"/></w:rPr><w:t> </w:t></w:r><w:r><w:rPr><w:rFonts w:ascii="Arial" w:cs="Arial" w:hAnsi="Arial"/><w:color w:val="252525"/></w:rPr><w:t>Neither glyphosate nor typical glyphosphate-based formulations (GBFs) pose a</w:t></w:r><w:r><w:rPr><w:rStyle w:val="style18"/><w:rFonts w:ascii="Arial" w:cs="Arial" w:hAnsi="Arial"/><w:color w:val="252525"/></w:rPr><w:t>  </w:t></w:r><w:r><w:rPr><w:rFonts w:ascii="Arial" w:cs="Arial" w:hAnsi="Arial"/><w:color w:val="252525"/></w:rPr><w:t xml:space="preserve">risk to humans under normal conditions of human or environmental exposures. </w:t></w:r></w:p><w:p><w:pPr><w:pStyle w:val="style33"/><w:shd w:fill="FFFFFF" w:val="clear"/><w:spacing w:after="28" w:before="28" w:line="269" w:lineRule="atLeast"/><w:contextualSpacing w:val="false"/><w:jc w:val="both"/></w:pPr><w:r><w:rPr><w:rFonts w:ascii="Arial" w:cs="Arial" w:hAnsi="Arial"/><w:color w:val="252525"/></w:rPr><w:t xml:space="preserve">The EPA considers glyphosate to be </w:t></w:r><w:r><w:rPr><w:rFonts w:ascii="Arial" w:cs="Arial" w:hAnsi="Arial"/><w:b/><w:bCs/><w:color w:val="252525"/></w:rPr><w:t>noncarcinogenic (</w:t></w:r><w:r><w:rPr><w:rFonts w:ascii="Arial" w:cs="Arial" w:hAnsi="Arial"/><w:color w:val="252525"/></w:rPr><w:t>non cancer forming</w:t></w:r><w:r><w:rPr><w:rFonts w:ascii="Arial" w:cs="Arial" w:hAnsi="Arial"/><w:b/><w:bCs/><w:color w:val="252525"/></w:rPr><w:t>)  and relatively low in dermal (</w:t></w:r><w:r><w:rPr><w:rFonts w:ascii="Arial" w:cs="Arial" w:hAnsi="Arial"/><w:color w:val="252525"/></w:rPr><w:t>skin</w:t></w:r><w:r><w:rPr><w:rFonts w:ascii="Arial" w:cs="Arial" w:hAnsi="Arial"/><w:b/><w:bCs/><w:color w:val="252525"/></w:rPr><w:t>) and oral acute</w:t></w:r><w:r><w:rPr><w:rFonts w:ascii="Arial" w:cs="Arial" w:hAnsi="Arial"/><w:color w:val="252525"/></w:rPr><w:t xml:space="preserve"> </w:t></w:r><w:r><w:rPr><w:rFonts w:ascii="Arial" w:cs="Arial" w:hAnsi="Arial"/><w:b/><w:bCs/><w:color w:val="252525"/></w:rPr><w:t>toxicit</w:t></w:r><w:r><w:rPr><w:rFonts w:ascii="Arial" w:cs="Arial" w:hAnsi="Arial"/><w:color w:val="252525"/></w:rPr><w:t xml:space="preserve">y. The EPA considered a &quot;worst case&quot; dietary risk model of an individual eating a lifetime of food derived entirely from glyphosate-sprayed fields with residues at their maximum levels. This model indicated that no adverse health effects would be expected under such conditions. </w:t></w:r></w:p><w:p><w:pPr><w:pStyle w:val="style3"/><w:numPr><w:ilvl w:val="2"/><w:numId w:val="1"/></w:numPr><w:shd w:fill="FFFFFF" w:val="clear"/><w:spacing w:after="0" w:before="72"/><w:contextualSpacing w:val="false"/><w:jc w:val="both"/></w:pPr><w:r><w:rPr><w:rStyle w:val="style19"/><w:rFonts w:ascii="Arial" w:cs="Arial" w:hAnsi="Arial"/><w:color w:val="000000"/><w:sz w:val="24"/><w:szCs w:val="24"/></w:rPr><w:t>Formulation toxicity</w:t></w:r></w:p><w:p><w:pPr><w:pStyle w:val="style33"/><w:shd w:fill="FFFFFF" w:val="clear"/><w:spacing w:after="28" w:before="28" w:line="269" w:lineRule="atLeast"/><w:contextualSpacing w:val="false"/><w:jc w:val="both"/></w:pPr><w:r><w:rPr><w:rFonts w:ascii="Arial" w:cs="Arial" w:hAnsi="Arial"/><w:b/><w:bCs/><w:color w:val="252525"/></w:rPr><w:t xml:space="preserve">A 2000 review concluded that &quot;under present and expected conditions of new use, there is no potential for Roundup herbicide to pose a health risk to humans&quot;.A 2002 review by the European Union reached the same conclusion. </w:t></w:r></w:p><w:p><w:pPr><w:pStyle w:val="style33"/><w:shd w:fill="FFFFFF" w:val="clear"/><w:spacing w:after="28" w:before="28" w:line="269" w:lineRule="atLeast"/><w:contextualSpacing w:val="false"/><w:jc w:val="both"/></w:pPr><w:r><w:rPr><w:rFonts w:ascii="Arial" w:cs="Arial" w:hAnsi="Arial"/><w:color w:val="252525"/></w:rPr><w:t>Data from the</w:t></w:r><w:r><w:rPr><w:rStyle w:val="style18"/><w:rFonts w:ascii="Arial" w:cs="Arial" w:hAnsi="Arial"/><w:color w:val="252525"/></w:rPr><w:t> </w:t></w:r><w:hyperlink r:id="rId12"><w:r><w:rPr><w:rStyle w:val="style17"/><w:rFonts w:ascii="Arial" w:cs="Arial" w:hAnsi="Arial"/><w:color w:val="00000A"/></w:rPr><w:t>California Environmental Protection Agency</w:t></w:r></w:hyperlink><w:r><w:rPr><w:rFonts w:ascii="Arial" w:cs="Arial" w:hAnsi="Arial"/></w:rPr><w:t>&apos;s Pesticide Illness Surveillance Program, which also tracks other agricultural</w:t></w:r><w:r><w:rPr><w:rFonts w:ascii="Arial" w:cs="Arial" w:hAnsi="Arial"/><w:color w:val="252525"/></w:rPr><w:t xml:space="preserve"> chemicals, show glyphosate-related incidents are some of the most common.</w:t></w:r><w:r><w:rPr><w:rStyle w:val="style18"/><w:rFonts w:ascii="Arial" w:cs="Arial" w:hAnsi="Arial"/><w:color w:val="252525"/></w:rPr><w:t> </w:t></w:r><w:r><w:rPr><w:rFonts w:ascii="Arial" w:cs="Arial" w:hAnsi="Arial"/><w:color w:val="252525"/></w:rPr><w:t>However, incident counts alone do not take into account the number of people exposed and the severity of symptoms associated with each incident. For example, if hospitalization were used as a measure of the severity of incidents, then glyphosate would be considered relatively safe; over a 13-year period in California, none of the 515 reported hospitalizations was attributed to glyphosate. Dermal exposure to ready-to-use glyphosate formulations can cause irritation, and</w:t></w:r><w:r><w:rPr><w:rStyle w:val="style18"/><w:rFonts w:ascii="Arial" w:cs="Arial" w:hAnsi="Arial"/><w:color w:val="252525"/></w:rPr><w:t> </w:t></w:r><w:r><w:fldChar w:fldCharType="begin"></w:fldChar></w:r><w:r><w:instrText> HYPERLINK &quot;http://en.wikipedia.org/wiki/Contact_dermatitis&quot; \l &quot;Photocontact_dermatitis&quot;</w:instrText></w:r><w:r><w:fldChar w:fldCharType="separate"/></w:r><w:r><w:rPr><w:rStyle w:val="style17"/><w:rFonts w:ascii="Arial" w:cs="Arial" w:hAnsi="Arial"/><w:color w:val="00000A"/></w:rPr><w:t>photocontact dermatitis</w:t></w:r><w:r><w:fldChar w:fldCharType="end"/></w:r></w:hyperlink><w:r><w:rPr><w:rStyle w:val="style18"/><w:rFonts w:ascii="Arial" w:cs="Arial" w:hAnsi="Arial"/></w:rPr><w:t> </w:t></w:r><w:r><w:rPr><w:rFonts w:ascii="Arial" w:cs="Arial" w:hAnsi="Arial"/></w:rPr><w:t>has been occasionally reported. These effects are probably due to the pr</w:t></w:r><w:r><w:rPr><w:rFonts w:ascii="Arial" w:cs="Arial" w:hAnsi="Arial"/><w:color w:val="252525"/></w:rPr><w:t>eservative ‘</w:t></w:r><w:hyperlink r:id="rId13"><w:r><w:rPr><w:rStyle w:val="style17"/><w:rFonts w:ascii="Arial" w:cs="Arial" w:hAnsi="Arial"/><w:color w:val="00000A"/></w:rPr><w:t>Proxel’ (benzisothiazolin-3-one</w:t></w:r><w:r><w:rPr><w:rStyle w:val="style17"/><w:rFonts w:ascii="Arial" w:cs="Arial" w:hAnsi="Arial"/><w:color w:val="0B0080"/></w:rPr><w:t>)</w:t></w:r></w:hyperlink><w:r><w:rPr><w:rFonts w:ascii="Arial" w:cs="Arial" w:hAnsi="Arial"/><w:color w:val="252525"/></w:rPr><w:t xml:space="preserve">. </w:t></w:r><w:r><w:rPr><w:rFonts w:ascii="Arial" w:cs="Arial" w:hAnsi="Arial"/><w:b/><w:bCs/><w:color w:val="252525"/></w:rPr><w:t>Severe skin burns are very rare.</w:t></w:r><w:r><w:rPr><w:rStyle w:val="style18"/><w:rFonts w:ascii="Arial" w:cs="Arial" w:hAnsi="Arial"/><w:b/><w:bCs/><w:color w:val="252525"/></w:rPr><w:t> </w:t></w:r><w:r><w:rPr><w:rFonts w:ascii="Arial" w:cs="Arial" w:hAnsi="Arial"/><w:b/><w:bCs/><w:color w:val="252525"/></w:rPr><w:t xml:space="preserve">Inhalation is a minor route of exposure, but spray mist may cause oral or nasal discomfort, an unpleasant taste in the mouth, or tingling and irritation in the throat. Eye exposure may lead to mild conjunctivitis. </w:t></w:r></w:p><w:p><w:pPr><w:pStyle w:val="style33"/><w:shd w:fill="FFFFFF" w:val="clear"/><w:spacing w:after="28" w:before="28" w:line="269" w:lineRule="atLeast"/><w:contextualSpacing w:val="false"/><w:jc w:val="both"/></w:pPr><w:r><w:rPr><w:rFonts w:ascii="Arial" w:cs="Arial" w:hAnsi="Arial"/><w:color w:val="252525"/><w:shd w:fill="FFFFFF" w:val="clear"/></w:rPr><w:t xml:space="preserve">Glyphosate has been called by experts in herbicides to be </w:t></w:r><w:r><w:rPr><w:rFonts w:ascii="Arial" w:cs="Arial" w:hAnsi="Arial"/><w:b/><w:bCs/><w:color w:val="252525"/><w:shd w:fill="FFFFFF" w:val="clear"/></w:rPr><w:t>&quot;virtually ideal&quot; due to its broad spectrum and low  toxicity to animal life compared with other herbicides.</w:t></w:r><w:r><w:rPr><w:rFonts w:ascii="Arial" w:cs="Arial" w:hAnsi="Arial"/><w:color w:val="252525"/><w:shd w:fill="FFFFFF" w:val="clear"/></w:rPr><w:t xml:space="preserve"> </w:t></w:r></w:p><w:p><w:pPr><w:pStyle w:val="style0"/><w:spacing w:after="120" w:before="0" w:line="100" w:lineRule="atLeast"/><w:contextualSpacing w:val="false"/><w:jc w:val="both"/></w:pPr><w:r><w:rPr><w:rFonts w:ascii="Lucida Sans Unicode" w:cs="Times New Roman" w:eastAsia="Times New Roman" w:hAnsi="Lucida Sans Unicode"/><w:b/><w:bCs/><w:color w:val="151515"/><w:sz w:val="24"/><w:szCs w:val="24"/></w:rPr><w:t>Glyphosate in Drinking Water (EPA Standards)</w:t></w:r></w:p><w:p><w:pPr><w:pStyle w:val="style0"/><w:shd w:fill="F6F6F6" w:val="clear"/><w:spacing w:after="120" w:before="120" w:line="288" w:lineRule="atLeast"/><w:contextualSpacing w:val="false"/><w:jc w:val="both"/></w:pPr><w:r><w:rPr><w:rFonts w:ascii="Lucida Sans Unicode" w:cs="Times New Roman" w:eastAsia="Times New Roman" w:hAnsi="Lucida Sans Unicode"/><w:b/><w:bCs/><w:color w:val="151515"/><w:sz w:val="24"/><w:szCs w:val="24"/></w:rPr><w:t xml:space="preserve">Maximum Contaminant Level (MCL) = 0.7 milligrams per Liter (mg/L) or </w:t></w:r><w:r><w:rPr><w:rFonts w:ascii="Lucida Sans Unicode" w:cs="Times New Roman" w:eastAsia="Times New Roman" w:hAnsi="Lucida Sans Unicode"/><w:b/><w:bCs/><w:color w:val="151515"/><w:sz w:val="24"/><w:szCs w:val="24"/><w:u w:val="single"/></w:rPr><w:t>700 parts per billion (ppb)</w:t></w:r></w:p><w:p><w:pPr><w:pStyle w:val="style0"/><w:shd w:fill="F6F6F6" w:val="clear"/><w:spacing w:after="120" w:before="120" w:line="288" w:lineRule="atLeast"/><w:contextualSpacing w:val="false"/><w:jc w:val="both"/></w:pPr><w:r><w:rPr><w:rFonts w:ascii="Lucida Sans Unicode" w:cs="Times New Roman" w:eastAsia="Times New Roman" w:hAnsi="Lucida Sans Unicode"/><w:b/><w:bCs/><w:color w:val="151515"/><w:sz w:val="24"/><w:szCs w:val="24"/></w:rPr><w:t>Maximum Contaminant Level (E U Standard) 200 ppb</w:t></w:r></w:p><w:p><w:pPr><w:pStyle w:val="style0"/><w:shd w:fill="F6F6F6" w:val="clear"/><w:spacing w:after="120" w:before="120" w:line="288" w:lineRule="atLeast"/><w:contextualSpacing w:val="false"/><w:jc w:val="both"/></w:pPr><w:r><w:rPr><w:rFonts w:ascii="Lucida Sans Unicode" w:cs="Times New Roman" w:eastAsia="Times New Roman" w:hAnsi="Lucida Sans Unicode"/><w:b/><w:bCs/><w:color w:val="151515"/><w:sz w:val="24"/><w:szCs w:val="24"/></w:rPr><w:t>Sources of Contamination</w:t></w:r><w:r><w:rPr><w:rFonts w:ascii="Lucida Sans Unicode" w:cs="Times New Roman" w:eastAsia="Times New Roman" w:hAnsi="Lucida Sans Unicode"/><w:color w:val="151515"/><w:sz w:val="24"/><w:szCs w:val="24"/></w:rPr><w:br/><w:t>Runoff from herbicide use</w:t></w:r></w:p><w:p><w:pPr><w:pStyle w:val="style0"/><w:shd w:fill="F6F6F6" w:val="clear"/><w:spacing w:after="120" w:before="120" w:line="288" w:lineRule="atLeast"/><w:contextualSpacing w:val="false"/><w:jc w:val="both"/></w:pPr><w:r><w:rPr><w:rFonts w:ascii="Lucida Sans Unicode" w:cs="Times New Roman" w:eastAsia="Times New Roman" w:hAnsi="Lucida Sans Unicode"/><w:b/><w:bCs/><w:color w:val="151515"/><w:sz w:val="24"/><w:szCs w:val="24"/></w:rPr><w:t>Presence of Glyphosate in Well Water in Padavi - Siripura</w:t></w:r></w:p><w:p><w:pPr><w:pStyle w:val="style0"/><w:shd w:fill="F6F6F6" w:val="clear"/><w:spacing w:after="120" w:before="120" w:line="288" w:lineRule="atLeast"/><w:contextualSpacing w:val="false"/><w:jc w:val="both"/></w:pPr><w:r><w:rPr><w:rFonts w:ascii="Lucida Sans Unicode" w:cs="Times New Roman" w:eastAsia="Times New Roman" w:hAnsi="Lucida Sans Unicode"/><w:b/><w:bCs/><w:color w:val="151515"/><w:sz w:val="24"/><w:szCs w:val="24"/></w:rPr><w:t xml:space="preserve">Jayasumana et.al (Environmental Health 2015,14:6 )  </w:t></w:r><w:r><w:rPr><w:rFonts w:ascii="Lucida Sans Unicode" w:cs="Times New Roman" w:eastAsia="Times New Roman" w:hAnsi="Lucida Sans Unicode"/><w:color w:val="151515"/><w:sz w:val="24"/><w:szCs w:val="24"/></w:rPr><w:t xml:space="preserve">have reported Glyphosate levels of </w:t></w:r><w:r><w:rPr><w:rFonts w:ascii="Lucida Sans Unicode" w:cs="Times New Roman" w:eastAsia="Times New Roman" w:hAnsi="Lucida Sans Unicode"/><w:b/><w:bCs/><w:color w:val="151515"/><w:sz w:val="24"/><w:szCs w:val="24"/></w:rPr><w:t>3.5 ppb in the water of abandoned wells, and 0.7 ppb in water of wells in use. These levels are 200 times lower than the maximum  permissible contaminant level specified by EPA- viz 700ppb</w:t></w:r><w:r><w:rPr><w:rFonts w:ascii="Lucida Sans Unicode" w:cs="Times New Roman" w:eastAsia="Times New Roman" w:hAnsi="Lucida Sans Unicode"/><w:color w:val="151515"/><w:sz w:val="24"/><w:szCs w:val="24"/></w:rPr><w:t>.</w:t></w:r></w:p><w:p><w:pPr><w:pStyle w:val="style0"/><w:shd w:fill="F6F6F6" w:val="clear"/><w:spacing w:after="120" w:before="120" w:line="288" w:lineRule="atLeast"/><w:contextualSpacing w:val="false"/><w:jc w:val="both"/></w:pPr><w:r><w:rPr><w:rFonts w:ascii="Lucida Sans Unicode" w:cs="Times New Roman" w:eastAsia="Times New Roman" w:hAnsi="Lucida Sans Unicode"/><w:b/><w:bCs/><w:color w:val="151515"/><w:sz w:val="24"/><w:szCs w:val="24"/></w:rPr><w:t xml:space="preserve">Glyphosate use in Sri Lanka </w:t></w:r></w:p><w:p><w:pPr><w:pStyle w:val="style0"/><w:shd w:fill="F6F6F6" w:val="clear"/><w:spacing w:after="120" w:before="120" w:line="288" w:lineRule="atLeast"/><w:contextualSpacing w:val="false"/><w:jc w:val="both"/></w:pPr><w:r><w:rPr><w:rFonts w:ascii="Verdana" w:hAnsi="Verdana"/><w:b/><w:bCs/><w:color w:val="000000"/><w:sz w:val="24"/><w:szCs w:val="24"/><w:shd w:fill="FFFFFF" w:val="clear"/></w:rPr><w:t>In 1977</w:t></w:r><w:r><w:rPr><w:rFonts w:ascii="Verdana" w:hAnsi="Verdana"/><w:color w:val="000000"/><w:sz w:val="24"/><w:szCs w:val="24"/><w:shd w:fill="FFFFFF" w:val="clear"/></w:rPr><w:t xml:space="preserve">, the Department of Agriculture permitted use of Glyphosate for controlling weeds in </w:t></w:r><w:r><w:rPr><w:rFonts w:ascii="Verdana" w:hAnsi="Verdana"/><w:b/><w:bCs/><w:color w:val="000000"/><w:sz w:val="24"/><w:szCs w:val="24"/><w:shd w:fill="FFFFFF" w:val="clear"/></w:rPr><w:t xml:space="preserve">non-crop lands in the hill country </w:t></w:r><w:r><w:rPr><w:rFonts w:ascii="Verdana" w:hAnsi="Verdana"/><w:color w:val="000000"/><w:sz w:val="24"/><w:szCs w:val="24"/><w:shd w:fill="FFFFFF" w:val="clear"/></w:rPr><w:t xml:space="preserve">and this was extended to all of Sri Lanka in 1994, again for only non-crop lands. Use in paddy fields was permitted only in 1998. </w:t></w:r></w:p><w:p><w:pPr><w:pStyle w:val="style0"/><w:shd w:fill="F6F6F6" w:val="clear"/><w:spacing w:after="120" w:before="120" w:line="288" w:lineRule="atLeast"/><w:contextualSpacing w:val="false"/><w:jc w:val="both"/></w:pPr><w:r><w:rPr><w:rFonts w:ascii="Lucida Sans Unicode" w:cs="Times New Roman" w:eastAsia="Times New Roman" w:hAnsi="Lucida Sans Unicode"/><w:color w:val="151515"/><w:sz w:val="24"/><w:szCs w:val="24"/></w:rPr><w:t>Glyphosate began to be used by some paddy farmers as a pre plant spray applied 10-14 days before ploughing their fields. However, its use by paddy farmers became popular only after the banning of the much cheaper herbicide Paraquat in 2010.  Price of Glyphosate was more than ten times that of Paraquat in the early days, and ‘poor’ paddy farmers could not have afforded it even if they wanted to. It was mainly used in the ‘plantation sector’ (Coconut and Tea estates) to control  perennial weeds such as ‘Illuk’ (Imperata cylindrica). Price of Glyphosate plummeted after 2000 (when MONSANTO’s patent on GLyphosate-“ROUNDUP””</w:t></w:r><w:r><w:rPr><w:rFonts w:ascii="Lucida Sans Unicode" w:cs="Times New Roman" w:eastAsia="Times New Roman" w:hAnsi="Lucida Sans Unicode"/><w:color w:val="151515"/><w:sz w:val="28"/><w:szCs w:val="28"/></w:rPr><w:t>expired,</w:t></w:r><w:r><w:rPr><w:rFonts w:ascii="Lucida Sans Unicode" w:cs="Times New Roman" w:eastAsia="Times New Roman" w:hAnsi="Lucida Sans Unicode"/><w:color w:val="151515"/><w:sz w:val="24"/><w:szCs w:val="24"/></w:rPr><w:t xml:space="preserve"> and China began to take over as the World’s largest manufacturer of Glyphosate). Tea Estates and Coconut plantations are major uses of Glyphosate for weed control to this day.</w:t></w:r></w:p><w:p><w:pPr><w:pStyle w:val="style0"/><w:shd w:fill="F6F6F6" w:val="clear"/><w:spacing w:after="120" w:before="120" w:line="288" w:lineRule="atLeast"/><w:contextualSpacing w:val="false"/><w:jc w:val="both"/></w:pPr><w:r><w:rPr><w:rFonts w:ascii="Lucida Sans Unicode" w:cs="Times New Roman" w:eastAsia="Times New Roman" w:hAnsi="Lucida Sans Unicode"/><w:b/><w:bCs/><w:color w:val="151515"/><w:sz w:val="24"/><w:szCs w:val="24"/></w:rPr><w:t xml:space="preserve">CKDu and Glyphosate </w:t></w:r></w:p><w:p><w:pPr><w:pStyle w:val="style0"/><w:shd w:fill="F6F6F6" w:val="clear"/><w:spacing w:after="120" w:before="120" w:line="288" w:lineRule="atLeast"/><w:contextualSpacing w:val="false"/><w:jc w:val="both"/></w:pPr><w:r><w:rPr><w:rFonts w:ascii="Lucida Sans Unicode" w:cs="Times New Roman" w:eastAsia="Times New Roman" w:hAnsi="Lucida Sans Unicode"/><w:color w:val="151515"/><w:sz w:val="24"/><w:szCs w:val="24"/></w:rPr><w:t xml:space="preserve">The first cases of CKDu were diagnosed in the North Central Province (NCP) in the mid 1990s- long before the widespread use of the herbicide Glyphosate by paddy farmers. CKDu has NOT been diagnosed in many other parts of the country (Batticaloa, Hambantota, Kalpitiya, Ampara etc) where Glyphosate is widely used, and agro-ecological conditions and farming practices are similar to the NCP. CKDu has NOT surfaced in the plantation sector where Glyphosate is widely used.  </w:t></w:r></w:p><w:p><w:pPr><w:pStyle w:val="style0"/><w:shd w:fill="F6F6F6" w:val="clear"/><w:spacing w:after="120" w:before="120" w:line="288" w:lineRule="atLeast"/><w:contextualSpacing w:val="false"/><w:jc w:val="both"/></w:pPr><w:r><w:rPr><w:rFonts w:ascii="Lucida Sans Unicode" w:cs="Times New Roman" w:eastAsia="Times New Roman" w:hAnsi="Lucida Sans Unicode"/><w:color w:val="151515"/><w:sz w:val="24"/><w:szCs w:val="24"/></w:rPr><w:t>Jayasumana et.al ( J. Environ. Res. Public Health, 2014, 11 2125-2147) were probably the first to hypothesize that Glyphosate may be a possible factor contributing to CKDu. In a more recent article (Environ.Health 2015, 14:6) these authors conclude that, “</w:t></w:r><w:r><w:rPr><w:rFonts w:ascii="Lucida Sans Unicode" w:cs="Times New Roman" w:eastAsia="Times New Roman" w:hAnsi="Lucida Sans Unicode"/><w:b/><w:bCs/><w:color w:val="151515"/><w:sz w:val="24"/><w:szCs w:val="24"/></w:rPr><w:t>CKDu epidemic among farmers in dry zone of Sri Lanka is associated with a history of drinking water from a well that was abandoned, and the spraying of Glyphosate and other pesticides in paddy fields.</w:t></w:r></w:p><w:p><w:pPr><w:pStyle w:val="style0"/><w:shd w:fill="F6F6F6" w:val="clear"/><w:spacing w:after="120" w:before="120" w:line="288" w:lineRule="atLeast"/><w:contextualSpacing w:val="false"/><w:jc w:val="both"/></w:pPr><w:r><w:rPr><w:rFonts w:ascii="Lucida Sans Unicode" w:cs="Times New Roman" w:eastAsia="Times New Roman" w:hAnsi="Lucida Sans Unicode"/><w:color w:val="151515"/><w:sz w:val="24"/><w:szCs w:val="24"/></w:rPr><w:t xml:space="preserve">The association of CKDu with drinking ground water from open dug wells is nothing new. As such, providing clean drinking water has been widely advocated by many researchers as a means of mitigating this kidney disease. However, what is it in the ground water that specifically contributes to CKDu, is still NOT known. High levels of Fluoride, Calcium and Magnesium (contributing to “hard water”), and high salt concentrations have all been found to be associated with well water, and may play some role in the development of CKDu. The concentration of Glyphosate </w:t></w:r><w:r><w:rPr><w:rFonts w:ascii="Lucida Sans Unicode" w:cs="Times New Roman" w:eastAsia="Times New Roman" w:hAnsi="Lucida Sans Unicode"/><w:b/><w:bCs/><w:color w:val="151515"/><w:sz w:val="24"/><w:szCs w:val="24"/></w:rPr><w:t>(().7 – 3.5</w:t></w:r><w:r><w:rPr><w:rFonts w:ascii="Lucida Sans Unicode" w:cs="Times New Roman" w:eastAsia="Times New Roman" w:hAnsi="Lucida Sans Unicode"/><w:color w:val="151515"/><w:sz w:val="24"/><w:szCs w:val="24"/></w:rPr><w:t xml:space="preserve"> </w:t></w:r><w:r><w:rPr><w:rFonts w:ascii="Lucida Sans Unicode" w:cs="Times New Roman" w:eastAsia="Times New Roman" w:hAnsi="Lucida Sans Unicode"/><w:b/><w:bCs/><w:color w:val="151515"/><w:sz w:val="24"/><w:szCs w:val="24"/></w:rPr><w:t>ppb</w:t></w:r><w:r><w:rPr><w:rFonts w:ascii="Lucida Sans Unicode" w:cs="Times New Roman" w:eastAsia="Times New Roman" w:hAnsi="Lucida Sans Unicode"/><w:color w:val="151515"/><w:sz w:val="24"/><w:szCs w:val="24"/></w:rPr><w:t>) reported by Jayasumana et.al. would be far too low to be of any consequence in contributing to CKDu, where the maximum  permissible contaminant level specified by the</w:t></w:r><w:r><w:rPr><w:rFonts w:ascii="Lucida Sans Unicode" w:cs="Times New Roman" w:eastAsia="Times New Roman" w:hAnsi="Lucida Sans Unicode"/><w:b/><w:bCs/><w:color w:val="151515"/><w:sz w:val="24"/><w:szCs w:val="24"/></w:rPr><w:t xml:space="preserve"> U.S. EPA is 700 ppb</w:t></w:r><w:r><w:rPr><w:rFonts w:ascii="Lucida Sans Unicode" w:cs="Times New Roman" w:eastAsia="Times New Roman" w:hAnsi="Lucida Sans Unicode"/><w:color w:val="151515"/><w:sz w:val="24"/><w:szCs w:val="24"/></w:rPr><w:t xml:space="preserve">. </w:t></w:r></w:p><w:p><w:pPr><w:pStyle w:val="style0"/><w:shd w:fill="F6F6F6" w:val="clear"/><w:spacing w:after="120" w:before="120" w:line="288" w:lineRule="atLeast"/><w:contextualSpacing w:val="false"/><w:jc w:val="both"/></w:pPr><w:r><w:rPr><w:rFonts w:ascii="Lucida Sans Unicode" w:cs="Times New Roman" w:eastAsia="Times New Roman" w:hAnsi="Lucida Sans Unicode"/><w:color w:val="151515"/><w:sz w:val="24"/><w:szCs w:val="24"/></w:rPr><w:t xml:space="preserve">The association of Glyphosate spraying with CKDu reported by the same authors (assuming dermal contamination and inhalation of spray mist as possible means of entry into the human body), may not be very significant considering the fact that farmers do not appear to have reported any skin irritation or any “tingling sensation in the throat” usually associated with Glyphosate inhalation and dermal contamination. It is also significant to note that </w:t></w:r><w:r><w:rPr><w:rFonts w:ascii="Lucida Sans Unicode" w:cs="Times New Roman" w:eastAsia="Times New Roman" w:hAnsi="Lucida Sans Unicode"/><w:b/><w:bCs/><w:color w:val="151515"/><w:sz w:val="24"/><w:szCs w:val="24"/></w:rPr><w:t>Glyphosate is non cumulative in the human body (being rapidly excreted in urine). Glyphosate has not been known to result in mammalian toxicity (unless deliberately injested in large quantities.) Considering the facts stated above, Glyphosate as a causative factor of CKDu is unlikely and highly speculative.</w:t></w:r></w:p><w:p><w:pPr><w:pStyle w:val="style0"/><w:shd w:fill="F6F6F6" w:val="clear"/><w:spacing w:after="120" w:before="120" w:line="288" w:lineRule="atLeast"/><w:contextualSpacing w:val="false"/><w:jc w:val="both"/></w:pPr><w:r><w:rPr><w:rFonts w:ascii="Lucida Sans Unicode" w:cs="Times New Roman" w:eastAsia="Times New Roman" w:hAnsi="Lucida Sans Unicode"/><w:b/><w:bCs/><w:color w:val="151515"/><w:sz w:val="24"/><w:szCs w:val="24"/></w:rPr><w:t>No Justification for banning Glyphosate</w:t></w:r></w:p><w:p><w:pPr><w:pStyle w:val="style0"/><w:shd w:fill="F6F6F6" w:val="clear"/><w:spacing w:after="120" w:before="120" w:line="288" w:lineRule="atLeast"/><w:contextualSpacing w:val="false"/><w:jc w:val="both"/></w:pPr><w:r><w:rPr><w:rFonts w:ascii="Lucida Sans Unicode" w:cs="Times New Roman" w:eastAsia="Times New Roman" w:hAnsi="Lucida Sans Unicode"/><w:color w:val="151515"/><w:sz w:val="24"/><w:szCs w:val="24"/></w:rPr><w:t xml:space="preserve">Glyphosate use by farmers in four districts ((Anuradhapura, Polonnaruwa, Kurunegala, Moneragala and parts of Badulla district) was banned by the former government on the </w:t></w:r><w:r><w:rPr><w:rFonts w:ascii="Lucida Sans Unicode" w:cs="Times New Roman" w:eastAsia="Times New Roman" w:hAnsi="Lucida Sans Unicode"/><w:b/><w:bCs/><w:color w:val="151515"/><w:sz w:val="24"/><w:szCs w:val="24"/></w:rPr><w:t>assumption</w:t></w:r><w:r><w:rPr><w:rFonts w:ascii="Lucida Sans Unicode" w:cs="Times New Roman" w:eastAsia="Times New Roman" w:hAnsi="Lucida Sans Unicode"/><w:color w:val="151515"/><w:sz w:val="24"/><w:szCs w:val="24"/></w:rPr><w:t xml:space="preserve"> that its use was contributing to CKDu. The facts presented in this paper show that there is NO justification for banning Glyphosate use. Preventing use of Glyphosate by paddy farmers during land preparation is believed to increase overall Cost of Production of paddy (due to increased demands on mechanical tillage), and also increase the demand for irrigation water considerably. With irrigation water becoming an increasingly scarce commodity, current emphasis is on water conserving farming practices. </w:t></w:r><w:r><w:rPr><w:rFonts w:ascii="Lucida Sans Unicode" w:cs="Times New Roman" w:eastAsia="Times New Roman" w:hAnsi="Lucida Sans Unicode"/><w:b/><w:bCs/><w:color w:val="151515"/><w:sz w:val="24"/><w:szCs w:val="24"/></w:rPr><w:t>Thus, there is a strong case for revoking the hasty decision to ban the use of Glyphosate  made in December 2014.</w:t></w:r></w:p><w:p><w:pPr><w:pStyle w:val="style0"/><w:shd w:fill="F6F6F6" w:val="clear"/><w:spacing w:after="120" w:before="120" w:line="288" w:lineRule="atLeast"/><w:contextualSpacing w:val="false"/><w:jc w:val="both"/></w:pPr><w:r><w:rPr><w:rFonts w:ascii="Lucida Sans Unicode" w:cs="Times New Roman" w:eastAsia="Times New Roman" w:hAnsi="Lucida Sans Unicode"/><w:color w:val="151515"/></w:rPr><w:t>The writer has been a rice farmer and a researcher in the Dept. of Agriculture. He may be contacted at:</w:t></w:r></w:p><w:p><w:pPr><w:pStyle w:val="style0"/><w:shd w:fill="F6F6F6" w:val="clear"/><w:spacing w:after="120" w:before="120" w:line="288" w:lineRule="atLeast"/><w:contextualSpacing w:val="false"/><w:jc w:val="both"/></w:pPr><w:r><w:rPr><w:rFonts w:ascii="Lucida Sans Unicode" w:cs="Times New Roman" w:eastAsia="Times New Roman" w:hAnsi="Lucida Sans Unicode"/><w:b/><w:bCs/><w:color w:val="151515"/></w:rPr><w:t>rangoviya2013@gmail.com</w:t></w:r></w:p><w:p><w:pPr><w:pStyle w:val="style0"/><w:shd w:fill="F6F6F6" w:val="clear"/><w:spacing w:after="120" w:before="120" w:line="288" w:lineRule="atLeast"/><w:contextualSpacing w:val="false"/><w:jc w:val="both"/></w:pPr><w:r><w:rPr><w:rFonts w:ascii="Lucida Sans Unicode" w:cs="Times New Roman" w:eastAsia="Times New Roman" w:hAnsi="Lucida Sans Unicode"/><w:color w:val="151515"/><w:sz w:val="24"/><w:szCs w:val="24"/></w:rPr></w:r></w:p><w:p><w:pPr><w:pStyle w:val="style33"/><w:shd w:fill="FFFFFF" w:val="clear"/><w:spacing w:after="28" w:before="28" w:line="269" w:lineRule="atLeast"/><w:contextualSpacing w:val="false"/><w:jc w:val="both"/></w:pPr><w:r><w:rPr><w:rFonts w:ascii="Arial" w:cs="Arial" w:hAnsi="Arial"/><w:b/><w:bCs/><w:color w:val="252525"/></w:rPr></w:r></w:p><w:p><w:pPr><w:pStyle w:val="style0"/><w:spacing w:after="120" w:before="120" w:line="100" w:lineRule="atLeast"/><w:contextualSpacing w:val="false"/><w:jc w:val="both"/></w:pPr><w:r><w:rPr><w:b/><w:bCs/><w:sz w:val="24"/><w:szCs w:val="24"/></w:rPr></w:r></w:p><w:p><w:pPr><w:pStyle w:val="style33"/><w:shd w:fill="FFFFFF" w:val="clear"/><w:spacing w:after="28" w:before="28" w:line="269" w:lineRule="atLeast"/><w:contextualSpacing w:val="false"/><w:jc w:val="both"/></w:pPr><w:r><w:rPr><w:rFonts w:ascii="Arial" w:cs="Arial" w:hAnsi="Arial"/><w:color w:val="252525"/></w:rPr></w:r></w:p><w:p><w:pPr><w:pStyle w:val="style0"/><w:spacing w:after="120" w:before="120" w:line="100" w:lineRule="atLeast"/><w:contextualSpacing w:val="false"/><w:jc w:val="both"/></w:pPr><w:r><w:rPr><w:rFonts w:ascii="Arial" w:cs="Arial" w:eastAsia="Times New Roman" w:hAnsi="Arial"/><w:color w:val="252525"/><w:sz w:val="24"/><w:szCs w:val="24"/></w:rPr></w:r></w:p><w:p><w:pPr><w:pStyle w:val="style0"/><w:jc w:val="both"/></w:pPr><w:r><w:rPr></w:rPr></w:r></w:p><w:sectPr><w:footerReference r:id="rId14" w:type="default"/><w:type w:val="nextPage"/><w:pgSz w:h="15840" w:w="12240"/><w:pgMar w:bottom="1440" w:footer="720" w:gutter="0" w:header="0" w:left="1440" w:right="1440" w:top="1440"/><w:pgNumType w:fmt="decimal"/><w:formProt w:val="false"/><w:textDirection w:val="lrTb"/><w:docGrid w:charSpace="4096" w:linePitch="360" w:type="default"/></w:sectPr></w:body></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jc w:val="center"/>
    </w:pPr>
    <w:r>
      <w:rPr/>
      <w:fldChar w:fldCharType="begin"/>
    </w:r>
    <w:r>
      <w:instrText> PAGE </w:instrText>
    </w:r>
    <w:r>
      <w:fldChar w:fldCharType="separate"/>
    </w:r>
    <w:r>
      <w:t>5</w:t>
    </w:r>
    <w:r>
      <w:fldChar w:fldCharType="end"/>
    </w:r>
  </w:p>
  <w:p>
    <w:pPr>
      <w:pStyle w:val="style35"/>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contextualSpacing w:val="false"/>
    </w:pPr>
    <w:rPr>
      <w:rFonts w:ascii="Calibri" w:cs="Calibri" w:eastAsia="AR PL ShanHeiSun Uni" w:hAnsi="Calibri"/>
      <w:color w:val="auto"/>
      <w:sz w:val="22"/>
      <w:szCs w:val="22"/>
      <w:lang w:bidi="ta-IN" w:eastAsia="en-US" w:val="en-US"/>
    </w:rPr>
  </w:style>
  <w:style w:styleId="style2" w:type="paragraph">
    <w:name w:val="Heading 2"/>
    <w:basedOn w:val="style0"/>
    <w:next w:val="style29"/>
    <w:pPr>
      <w:keepNext/>
      <w:keepLines/>
      <w:numPr>
        <w:ilvl w:val="1"/>
        <w:numId w:val="1"/>
      </w:numPr>
      <w:spacing w:after="0" w:before="200"/>
      <w:contextualSpacing w:val="false"/>
      <w:outlineLvl w:val="1"/>
    </w:pPr>
    <w:rPr>
      <w:rFonts w:ascii="Cambria" w:cs="" w:hAnsi="Cambria"/>
      <w:b/>
      <w:bCs/>
      <w:color w:val="4F81BD"/>
      <w:sz w:val="26"/>
      <w:szCs w:val="26"/>
    </w:rPr>
  </w:style>
  <w:style w:styleId="style3" w:type="paragraph">
    <w:name w:val="Heading 3"/>
    <w:basedOn w:val="style0"/>
    <w:next w:val="style29"/>
    <w:pPr>
      <w:keepNext/>
      <w:keepLines/>
      <w:numPr>
        <w:ilvl w:val="2"/>
        <w:numId w:val="1"/>
      </w:numPr>
      <w:spacing w:after="0" w:before="200"/>
      <w:contextualSpacing w:val="false"/>
      <w:outlineLvl w:val="2"/>
    </w:pPr>
    <w:rPr>
      <w:rFonts w:ascii="Cambria" w:cs="" w:hAnsi="Cambria"/>
      <w:b/>
      <w:bCs/>
      <w:color w:val="4F81BD"/>
    </w:rPr>
  </w:style>
  <w:style w:styleId="style4" w:type="paragraph">
    <w:name w:val="Heading 4"/>
    <w:basedOn w:val="style0"/>
    <w:next w:val="style29"/>
    <w:pPr>
      <w:keepNext/>
      <w:keepLines/>
      <w:numPr>
        <w:ilvl w:val="3"/>
        <w:numId w:val="1"/>
      </w:numPr>
      <w:spacing w:after="0" w:before="200"/>
      <w:contextualSpacing w:val="false"/>
      <w:outlineLvl w:val="3"/>
    </w:pPr>
    <w:rPr>
      <w:rFonts w:ascii="Cambria" w:cs="" w:hAnsi="Cambria"/>
      <w:b/>
      <w:bCs/>
      <w:i/>
      <w:iCs/>
      <w:color w:val="4F81BD"/>
    </w:rPr>
  </w:style>
  <w:style w:styleId="style15" w:type="character">
    <w:name w:val="Default Paragraph Font"/>
    <w:next w:val="style15"/>
    <w:rPr/>
  </w:style>
  <w:style w:styleId="style16" w:type="character">
    <w:name w:val="Heading 2 Char"/>
    <w:basedOn w:val="style15"/>
    <w:next w:val="style16"/>
    <w:rPr>
      <w:rFonts w:ascii="Cambria" w:cs="" w:hAnsi="Cambria"/>
      <w:b/>
      <w:bCs/>
      <w:color w:val="4F81BD"/>
      <w:sz w:val="26"/>
      <w:szCs w:val="26"/>
    </w:rPr>
  </w:style>
  <w:style w:styleId="style17" w:type="character">
    <w:name w:val="Internet Link"/>
    <w:basedOn w:val="style15"/>
    <w:next w:val="style17"/>
    <w:rPr>
      <w:color w:val="0000FF"/>
      <w:u w:val="single"/>
      <w:lang w:bidi="en-US" w:eastAsia="en-US" w:val="en-US"/>
    </w:rPr>
  </w:style>
  <w:style w:styleId="style18" w:type="character">
    <w:name w:val="apple-converted-space"/>
    <w:basedOn w:val="style15"/>
    <w:next w:val="style18"/>
    <w:rPr/>
  </w:style>
  <w:style w:styleId="style19" w:type="character">
    <w:name w:val="mw-headline"/>
    <w:basedOn w:val="style15"/>
    <w:next w:val="style19"/>
    <w:rPr/>
  </w:style>
  <w:style w:styleId="style20" w:type="character">
    <w:name w:val="mw-editsection"/>
    <w:basedOn w:val="style15"/>
    <w:next w:val="style20"/>
    <w:rPr/>
  </w:style>
  <w:style w:styleId="style21" w:type="character">
    <w:name w:val="mw-editsection-bracket"/>
    <w:basedOn w:val="style15"/>
    <w:next w:val="style21"/>
    <w:rPr/>
  </w:style>
  <w:style w:styleId="style22" w:type="character">
    <w:name w:val="Heading 3 Char"/>
    <w:basedOn w:val="style15"/>
    <w:next w:val="style22"/>
    <w:rPr>
      <w:rFonts w:ascii="Cambria" w:cs="" w:hAnsi="Cambria"/>
      <w:b/>
      <w:bCs/>
      <w:color w:val="4F81BD"/>
    </w:rPr>
  </w:style>
  <w:style w:styleId="style23" w:type="character">
    <w:name w:val="Heading 4 Char"/>
    <w:basedOn w:val="style15"/>
    <w:next w:val="style23"/>
    <w:rPr>
      <w:rFonts w:ascii="Cambria" w:cs="" w:hAnsi="Cambria"/>
      <w:b/>
      <w:bCs/>
      <w:i/>
      <w:iCs/>
      <w:color w:val="4F81BD"/>
    </w:rPr>
  </w:style>
  <w:style w:styleId="style24" w:type="character">
    <w:name w:val="Header Char"/>
    <w:basedOn w:val="style15"/>
    <w:next w:val="style24"/>
    <w:rPr/>
  </w:style>
  <w:style w:styleId="style25" w:type="character">
    <w:name w:val="Footer Char"/>
    <w:basedOn w:val="style15"/>
    <w:next w:val="style25"/>
    <w:rPr/>
  </w:style>
  <w:style w:styleId="style26" w:type="character">
    <w:name w:val="Balloon Text Char"/>
    <w:basedOn w:val="style15"/>
    <w:next w:val="style26"/>
    <w:rPr>
      <w:rFonts w:ascii="Tahoma" w:cs="Tahoma" w:hAnsi="Tahoma"/>
      <w:sz w:val="16"/>
      <w:szCs w:val="16"/>
    </w:rPr>
  </w:style>
  <w:style w:styleId="style27" w:type="character">
    <w:name w:val="ListLabel 1"/>
    <w:next w:val="style27"/>
    <w:rPr>
      <w:sz w:val="20"/>
    </w:rPr>
  </w:style>
  <w:style w:styleId="style28" w:type="paragraph">
    <w:name w:val="Heading"/>
    <w:basedOn w:val="style0"/>
    <w:next w:val="style29"/>
    <w:pPr>
      <w:keepNext/>
      <w:spacing w:after="120" w:before="240"/>
      <w:contextualSpacing w:val="false"/>
    </w:pPr>
    <w:rPr>
      <w:rFonts w:ascii="Liberation Sans" w:cs="FreeSans" w:eastAsia="AR PL ShanHeiSun Uni" w:hAnsi="Liberation Sans"/>
      <w:sz w:val="28"/>
      <w:szCs w:val="28"/>
    </w:rPr>
  </w:style>
  <w:style w:styleId="style29" w:type="paragraph">
    <w:name w:val="Text body"/>
    <w:basedOn w:val="style0"/>
    <w:next w:val="style29"/>
    <w:pPr>
      <w:spacing w:after="120" w:before="0"/>
      <w:contextualSpacing w:val="false"/>
    </w:pPr>
    <w:rPr/>
  </w:style>
  <w:style w:styleId="style30" w:type="paragraph">
    <w:name w:val="List"/>
    <w:basedOn w:val="style29"/>
    <w:next w:val="style30"/>
    <w:pPr/>
    <w:rPr>
      <w:rFonts w:cs="FreeSans"/>
    </w:rPr>
  </w:style>
  <w:style w:styleId="style31" w:type="paragraph">
    <w:name w:val="Caption"/>
    <w:basedOn w:val="style0"/>
    <w:next w:val="style31"/>
    <w:pPr>
      <w:suppressLineNumbers/>
      <w:spacing w:after="120" w:before="120"/>
      <w:contextualSpacing w:val="false"/>
    </w:pPr>
    <w:rPr>
      <w:rFonts w:cs="FreeSans"/>
      <w:i/>
      <w:iCs/>
      <w:sz w:val="24"/>
      <w:szCs w:val="24"/>
    </w:rPr>
  </w:style>
  <w:style w:styleId="style32" w:type="paragraph">
    <w:name w:val="Index"/>
    <w:basedOn w:val="style0"/>
    <w:next w:val="style32"/>
    <w:pPr>
      <w:suppressLineNumbers/>
    </w:pPr>
    <w:rPr>
      <w:rFonts w:cs="FreeSans"/>
    </w:rPr>
  </w:style>
  <w:style w:styleId="style33" w:type="paragraph">
    <w:name w:val="Normal (Web)"/>
    <w:basedOn w:val="style0"/>
    <w:next w:val="style33"/>
    <w:pPr>
      <w:spacing w:after="28" w:before="28" w:line="100" w:lineRule="atLeast"/>
      <w:contextualSpacing w:val="false"/>
    </w:pPr>
    <w:rPr>
      <w:rFonts w:ascii="Times New Roman" w:cs="Times New Roman" w:eastAsia="Times New Roman" w:hAnsi="Times New Roman"/>
      <w:sz w:val="24"/>
      <w:szCs w:val="24"/>
    </w:rPr>
  </w:style>
  <w:style w:styleId="style34" w:type="paragraph">
    <w:name w:val="Header"/>
    <w:basedOn w:val="style0"/>
    <w:next w:val="style34"/>
    <w:pPr>
      <w:suppressLineNumbers/>
      <w:tabs>
        <w:tab w:leader="none" w:pos="4680" w:val="center"/>
        <w:tab w:leader="none" w:pos="9360" w:val="right"/>
      </w:tabs>
      <w:spacing w:after="0" w:before="0" w:line="100" w:lineRule="atLeast"/>
      <w:contextualSpacing w:val="false"/>
    </w:pPr>
    <w:rPr/>
  </w:style>
  <w:style w:styleId="style35" w:type="paragraph">
    <w:name w:val="Footer"/>
    <w:basedOn w:val="style0"/>
    <w:next w:val="style35"/>
    <w:pPr>
      <w:suppressLineNumbers/>
      <w:tabs>
        <w:tab w:leader="none" w:pos="4680" w:val="center"/>
        <w:tab w:leader="none" w:pos="9360" w:val="right"/>
      </w:tabs>
      <w:spacing w:after="0" w:before="0" w:line="100" w:lineRule="atLeast"/>
      <w:contextualSpacing w:val="false"/>
    </w:pPr>
    <w:rPr/>
  </w:style>
  <w:style w:styleId="style36" w:type="paragraph">
    <w:name w:val="Balloon Text"/>
    <w:basedOn w:val="style0"/>
    <w:next w:val="style36"/>
    <w:pPr>
      <w:spacing w:after="0" w:before="0" w:line="100" w:lineRule="atLeast"/>
      <w:contextualSpacing w:val="false"/>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en.wikipedia.org/wiki/Weed" TargetMode="External"/><Relationship Id="rId4" Type="http://schemas.openxmlformats.org/officeDocument/2006/relationships/hyperlink" Target="http://en.wikipedia.org/wiki/Perkin_Medal" TargetMode="External"/><Relationship Id="rId5" Type="http://schemas.openxmlformats.org/officeDocument/2006/relationships/hyperlink" Target="http://en.wikipedia.org/wiki/Patent" TargetMode="External"/><Relationship Id="rId6" Type="http://schemas.openxmlformats.org/officeDocument/2006/relationships/hyperlink" Target="http://en.wikipedia.org/wiki/Genetically_modified_crops" TargetMode="External"/><Relationship Id="rId7" Type="http://schemas.openxmlformats.org/officeDocument/2006/relationships/hyperlink" Target="http://en.wikipedia.org/wiki/Agrochemical" TargetMode="External"/><Relationship Id="rId8" Type="http://schemas.openxmlformats.org/officeDocument/2006/relationships/hyperlink" Target="http://en.wikipedia.org/wiki/Aminomethylphosphonic_acid" TargetMode="External"/><Relationship Id="rId9" Type="http://schemas.openxmlformats.org/officeDocument/2006/relationships/hyperlink" Target="http://en.wikipedia.org/wiki/Carbon_dioxide" TargetMode="External"/><Relationship Id="rId10" Type="http://schemas.openxmlformats.org/officeDocument/2006/relationships/hyperlink" Target="http://en.wikipedia.org/wiki/United_States_Environmental_Protection_Agency" TargetMode="External"/><Relationship Id="rId11" Type="http://schemas.openxmlformats.org/officeDocument/2006/relationships/hyperlink" Target="http://en.wikipedia.org/wiki/Toxicity_Class" TargetMode="External"/><Relationship Id="rId12" Type="http://schemas.openxmlformats.org/officeDocument/2006/relationships/hyperlink" Target="http://en.wikipedia.org/wiki/California_Environmental_Protection_Agency" TargetMode="External"/><Relationship Id="rId13" Type="http://schemas.openxmlformats.org/officeDocument/2006/relationships/hyperlink" Target="http://en.wikipedia.org/wiki/Benzisothiazolin-3-one" TargetMode="External"/><Relationship Id="rId14" Type="http://schemas.openxmlformats.org/officeDocument/2006/relationships/footer" Target="footer1.xml"/><Relationship Id="rId15" Type="http://schemas.openxmlformats.org/officeDocument/2006/relationships/numbering" Target="numbering.xml"/><Relationship Id="rId16"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675</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2015-02-11T12:35:00.00Z</dcterms:created>
  <dc:creator>USER</dc:creator>
  <cp:lastModifiedBy>USER</cp:lastModifiedBy>
  <dcterms:modified xsi:type="dcterms:W3CDTF">2015-05-05T00:44:00.00Z</dcterms:modified>
  <cp:revision>159</cp:revision>
</cp:coreProperties>
</file>